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黑体" w:hAnsi="黑体" w:eastAsia="黑体" w:cs="方正小标宋简体"/>
          <w:sz w:val="48"/>
          <w:szCs w:val="48"/>
        </w:rPr>
      </w:pPr>
      <w:bookmarkStart w:id="0" w:name="_Toc27865"/>
      <w:bookmarkStart w:id="1" w:name="_Toc76683363"/>
      <w:r>
        <w:rPr>
          <w:rFonts w:hint="eastAsia" w:ascii="方正小标宋简体" w:hAnsi="黑体" w:eastAsia="方正小标宋简体"/>
          <w:color w:val="000000"/>
          <w:sz w:val="44"/>
          <w:szCs w:val="44"/>
        </w:rPr>
        <w:t xml:space="preserve"> </w:t>
      </w:r>
      <w:r>
        <w:rPr>
          <w:rFonts w:hint="eastAsia" w:ascii="黑体" w:hAnsi="黑体" w:eastAsia="黑体"/>
          <w:color w:val="000000"/>
          <w:sz w:val="48"/>
          <w:szCs w:val="48"/>
        </w:rPr>
        <w:t>洛阳市偃师区</w:t>
      </w:r>
      <w:r>
        <w:rPr>
          <w:rFonts w:hint="eastAsia" w:ascii="黑体" w:hAnsi="黑体" w:eastAsia="黑体" w:cs="方正小标宋简体"/>
          <w:bCs/>
          <w:sz w:val="48"/>
          <w:szCs w:val="48"/>
        </w:rPr>
        <w:t>市场监督管理局</w:t>
      </w:r>
      <w:bookmarkEnd w:id="0"/>
      <w:bookmarkEnd w:id="1"/>
    </w:p>
    <w:p>
      <w:pPr>
        <w:spacing w:line="560" w:lineRule="exact"/>
        <w:jc w:val="center"/>
        <w:outlineLvl w:val="0"/>
        <w:rPr>
          <w:rFonts w:ascii="Times New Roman" w:hAnsi="Times New Roman" w:eastAsia="方正小标宋简体" w:cs="Mongolian Baiti"/>
          <w:bCs/>
          <w:color w:val="000000"/>
          <w:sz w:val="44"/>
          <w:szCs w:val="44"/>
        </w:rPr>
      </w:pPr>
      <w:bookmarkStart w:id="2" w:name="_Toc76683364"/>
      <w:r>
        <w:rPr>
          <w:rFonts w:ascii="黑体" w:hAnsi="黑体" w:eastAsia="黑体" w:cs="Mongolian Baiti"/>
          <w:bCs/>
          <w:color w:val="000000"/>
          <w:sz w:val="48"/>
          <w:szCs w:val="48"/>
        </w:rPr>
        <w:t>行政处罚决定书</w:t>
      </w:r>
      <w:bookmarkEnd w:id="2"/>
    </w:p>
    <w:p>
      <w:pPr>
        <w:widowControl/>
        <w:snapToGrid w:val="0"/>
        <w:spacing w:line="560" w:lineRule="exact"/>
        <w:ind w:right="55"/>
        <w:jc w:val="center"/>
        <w:outlineLvl w:val="1"/>
        <w:rPr>
          <w:rFonts w:ascii="仿宋" w:hAnsi="仿宋" w:eastAsia="仿宋" w:cs="仿宋"/>
          <w:bCs/>
          <w:color w:val="000000"/>
          <w:sz w:val="32"/>
          <w:szCs w:val="32"/>
        </w:rPr>
      </w:pPr>
      <w:r>
        <w:rPr>
          <w:rFonts w:hint="eastAsia" w:ascii="宋体" w:hAnsi="宋体" w:cs="仿宋"/>
          <w:bCs/>
          <w:color w:val="000000"/>
          <w:sz w:val="30"/>
          <w:szCs w:val="30"/>
        </w:rPr>
        <w:t>偃市监处罚〔2024〕2023136号</w:t>
      </w:r>
    </w:p>
    <w:p>
      <w:pPr>
        <w:widowControl/>
        <w:snapToGrid w:val="0"/>
        <w:spacing w:line="600" w:lineRule="exact"/>
        <w:ind w:right="55"/>
        <w:outlineLvl w:val="1"/>
        <w:rPr>
          <w:rFonts w:ascii="仿宋" w:hAnsi="仿宋" w:eastAsia="仿宋" w:cs="仿宋"/>
          <w:bCs/>
          <w:kern w:val="1"/>
          <w:sz w:val="32"/>
          <w:szCs w:val="32"/>
        </w:rPr>
      </w:pPr>
    </w:p>
    <w:p>
      <w:pPr>
        <w:widowControl/>
        <w:snapToGrid w:val="0"/>
        <w:spacing w:line="600" w:lineRule="exact"/>
        <w:ind w:right="55"/>
        <w:outlineLvl w:val="1"/>
        <w:rPr>
          <w:rFonts w:ascii="仿宋" w:hAnsi="仿宋" w:eastAsia="仿宋" w:cs="仿宋"/>
          <w:bCs/>
          <w:sz w:val="32"/>
          <w:szCs w:val="32"/>
        </w:rPr>
      </w:pPr>
      <w:r>
        <w:rPr>
          <w:rFonts w:hint="eastAsia" w:ascii="仿宋" w:hAnsi="仿宋" w:eastAsia="仿宋" w:cs="仿宋"/>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20802600</wp:posOffset>
                </wp:positionV>
                <wp:extent cx="5761990" cy="0"/>
                <wp:effectExtent l="0" t="9525" r="13970" b="13335"/>
                <wp:wrapNone/>
                <wp:docPr id="3" name="直接箭头连接符 3"/>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pt;margin-top:1638pt;height:0pt;width:453.7pt;z-index:251659264;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4Ky1v9YAAAAMAQAADwAAAAAAAAABACAAAAAiAAAAZHJzL2Rvd25yZXYu&#10;eG1sUEsBAhQAFAAAAAgAh07iQFXqW5X9AQAA7QMAAA4AAAAAAAAAAQAgAAAAJQEAAGRycy9lMm9E&#10;b2MueG1sUEsFBgAAAAAGAAYAWQEAAJQFAAAAAA==&#10;">
                <v:fill on="f" focussize="0,0"/>
                <v:stroke weight="1.5pt" color="#000000" joinstyle="round"/>
                <v:imagedata o:title=""/>
                <o:lock v:ext="edit" aspectratio="f"/>
              </v:shape>
            </w:pict>
          </mc:Fallback>
        </mc:AlternateContent>
      </w:r>
      <w:r>
        <w:rPr>
          <w:rFonts w:hint="eastAsia" w:ascii="仿宋" w:hAnsi="仿宋" w:eastAsia="仿宋" w:cs="仿宋"/>
          <w:bCs/>
          <w:kern w:val="1"/>
          <w:sz w:val="32"/>
          <w:szCs w:val="32"/>
        </w:rPr>
        <w:t>当事人：洛阳市世好大药房店</w:t>
      </w:r>
      <w:r>
        <w:rPr>
          <w:rFonts w:hint="eastAsia" w:ascii="仿宋" w:hAnsi="仿宋" w:eastAsia="仿宋" w:cs="仿宋"/>
          <w:sz w:val="32"/>
          <w:szCs w:val="32"/>
        </w:rPr>
        <w:t xml:space="preserve">                                        </w:t>
      </w:r>
      <w:r>
        <w:rPr>
          <w:rFonts w:hint="eastAsia" w:ascii="仿宋" w:hAnsi="仿宋" w:eastAsia="仿宋" w:cs="仿宋"/>
          <w:kern w:val="1"/>
          <w:sz w:val="32"/>
          <w:szCs w:val="32"/>
        </w:rPr>
        <w:t xml:space="preserve">   </w:t>
      </w:r>
    </w:p>
    <w:p>
      <w:pPr>
        <w:spacing w:line="600" w:lineRule="exact"/>
        <w:ind w:left="140" w:hanging="140"/>
        <w:rPr>
          <w:rFonts w:ascii="仿宋" w:hAnsi="仿宋" w:eastAsia="仿宋" w:cs="仿宋"/>
          <w:sz w:val="32"/>
          <w:szCs w:val="32"/>
        </w:rPr>
      </w:pPr>
      <w:r>
        <w:rPr>
          <w:rFonts w:hint="eastAsia" w:ascii="仿宋" w:hAnsi="仿宋" w:eastAsia="仿宋" w:cs="仿宋"/>
          <w:bCs/>
          <w:kern w:val="1"/>
          <w:sz w:val="32"/>
          <w:szCs w:val="32"/>
        </w:rPr>
        <w:t>主体资格证照</w:t>
      </w:r>
      <w:r>
        <w:rPr>
          <w:rFonts w:hint="eastAsia" w:ascii="仿宋" w:hAnsi="仿宋" w:eastAsia="仿宋" w:cs="仿宋"/>
          <w:kern w:val="1"/>
          <w:sz w:val="32"/>
          <w:szCs w:val="32"/>
        </w:rPr>
        <w:t xml:space="preserve">名称：营业执照                                     </w:t>
      </w:r>
    </w:p>
    <w:p>
      <w:pPr>
        <w:spacing w:line="600" w:lineRule="exact"/>
        <w:ind w:left="140" w:hanging="140"/>
        <w:rPr>
          <w:rFonts w:ascii="仿宋" w:hAnsi="仿宋" w:eastAsia="仿宋" w:cs="仿宋"/>
          <w:kern w:val="1"/>
          <w:sz w:val="32"/>
          <w:szCs w:val="32"/>
        </w:rPr>
      </w:pPr>
      <w:r>
        <w:rPr>
          <w:rFonts w:hint="eastAsia" w:ascii="仿宋" w:hAnsi="仿宋" w:eastAsia="仿宋" w:cs="仿宋"/>
          <w:kern w:val="1"/>
          <w:sz w:val="32"/>
          <w:szCs w:val="32"/>
        </w:rPr>
        <w:t>统一社会信用代码：</w:t>
      </w:r>
      <w:r>
        <w:rPr>
          <w:rFonts w:hint="eastAsia" w:ascii="仿宋" w:hAnsi="仿宋" w:eastAsia="仿宋" w:cs="仿宋"/>
          <w:sz w:val="32"/>
          <w:szCs w:val="32"/>
        </w:rPr>
        <w:t>91410307MA9LG2KN0J</w:t>
      </w:r>
      <w:r>
        <w:rPr>
          <w:rFonts w:hint="eastAsia" w:ascii="仿宋" w:hAnsi="仿宋" w:eastAsia="仿宋" w:cs="仿宋"/>
          <w:kern w:val="1"/>
          <w:sz w:val="32"/>
          <w:szCs w:val="32"/>
        </w:rPr>
        <w:t xml:space="preserve">                                      </w:t>
      </w:r>
    </w:p>
    <w:p>
      <w:pPr>
        <w:spacing w:line="600" w:lineRule="exact"/>
        <w:rPr>
          <w:rFonts w:ascii="仿宋" w:hAnsi="仿宋" w:eastAsia="仿宋" w:cs="仿宋"/>
          <w:kern w:val="1"/>
          <w:sz w:val="32"/>
          <w:szCs w:val="32"/>
        </w:rPr>
      </w:pPr>
      <w:r>
        <w:rPr>
          <w:rFonts w:hint="eastAsia" w:ascii="仿宋" w:hAnsi="仿宋" w:eastAsia="仿宋" w:cs="仿宋"/>
          <w:kern w:val="1"/>
          <w:sz w:val="32"/>
          <w:szCs w:val="32"/>
        </w:rPr>
        <w:t>住所：</w:t>
      </w:r>
      <w:r>
        <w:rPr>
          <w:rFonts w:hint="eastAsia" w:ascii="仿宋" w:hAnsi="仿宋" w:eastAsia="仿宋" w:cs="仿宋"/>
          <w:color w:val="000000"/>
          <w:sz w:val="32"/>
          <w:szCs w:val="32"/>
        </w:rPr>
        <w:t>偃师区槐新街道窑头村十组</w:t>
      </w:r>
      <w:r>
        <w:rPr>
          <w:rFonts w:hint="eastAsia" w:ascii="仿宋" w:hAnsi="仿宋" w:eastAsia="仿宋" w:cs="仿宋"/>
          <w:kern w:val="1"/>
          <w:sz w:val="32"/>
          <w:szCs w:val="32"/>
        </w:rPr>
        <w:t xml:space="preserve">                                           </w:t>
      </w:r>
    </w:p>
    <w:p>
      <w:pPr>
        <w:spacing w:line="600" w:lineRule="exact"/>
        <w:rPr>
          <w:rFonts w:ascii="仿宋" w:hAnsi="仿宋" w:eastAsia="仿宋" w:cs="仿宋"/>
          <w:kern w:val="1"/>
          <w:sz w:val="32"/>
          <w:szCs w:val="32"/>
        </w:rPr>
      </w:pPr>
      <w:r>
        <w:rPr>
          <w:rFonts w:hint="eastAsia" w:ascii="仿宋" w:hAnsi="仿宋" w:eastAsia="仿宋" w:cs="仿宋"/>
          <w:kern w:val="1"/>
          <w:sz w:val="32"/>
          <w:szCs w:val="32"/>
        </w:rPr>
        <w:t>投资人：</w:t>
      </w:r>
      <w:r>
        <w:rPr>
          <w:rFonts w:hint="eastAsia" w:ascii="仿宋" w:hAnsi="仿宋" w:eastAsia="仿宋" w:cs="仿宋"/>
          <w:sz w:val="32"/>
          <w:szCs w:val="32"/>
        </w:rPr>
        <w:t>武宏光</w:t>
      </w:r>
      <w:r>
        <w:rPr>
          <w:rFonts w:hint="eastAsia" w:ascii="仿宋" w:hAnsi="仿宋" w:eastAsia="仿宋" w:cs="仿宋"/>
          <w:kern w:val="1"/>
          <w:sz w:val="32"/>
          <w:szCs w:val="32"/>
        </w:rPr>
        <w:t xml:space="preserve">                                 </w:t>
      </w:r>
    </w:p>
    <w:p>
      <w:pPr>
        <w:widowControl/>
        <w:kinsoku w:val="0"/>
        <w:autoSpaceDE w:val="0"/>
        <w:autoSpaceDN w:val="0"/>
        <w:adjustRightInd w:val="0"/>
        <w:snapToGrid w:val="0"/>
        <w:spacing w:before="104" w:line="600" w:lineRule="exact"/>
        <w:ind w:firstLine="640" w:firstLineChars="200"/>
        <w:textAlignment w:val="baseline"/>
        <w:rPr>
          <w:rFonts w:ascii="仿宋" w:hAnsi="仿宋" w:eastAsia="仿宋" w:cs="仿宋_GB2312"/>
          <w:sz w:val="32"/>
          <w:szCs w:val="32"/>
        </w:rPr>
      </w:pPr>
      <w:bookmarkStart w:id="3" w:name="_GoBack"/>
      <w:bookmarkEnd w:id="3"/>
      <w:r>
        <w:rPr>
          <w:rFonts w:hint="eastAsia" w:ascii="仿宋" w:hAnsi="仿宋" w:eastAsia="仿宋" w:cs="仿宋_GB2312"/>
          <w:sz w:val="32"/>
          <w:szCs w:val="32"/>
        </w:rPr>
        <w:t>2023年8月1日，我局执法人员对当事人进行现场检查，发现在其货架上摆放的第二类医疗器械森福源穴位贴敷治疗贴18袋（2贴/袋）共36贴已超过有效期,</w:t>
      </w:r>
      <w:r>
        <w:rPr>
          <w:rFonts w:hint="eastAsia" w:ascii="仿宋" w:hAnsi="仿宋" w:eastAsia="仿宋" w:cs="仿宋"/>
          <w:sz w:val="32"/>
          <w:szCs w:val="32"/>
        </w:rPr>
        <w:t>当事人</w:t>
      </w:r>
      <w:r>
        <w:rPr>
          <w:rFonts w:hint="eastAsia" w:ascii="仿宋" w:hAnsi="仿宋" w:eastAsia="仿宋" w:cs="仿宋_GB2312"/>
          <w:bCs/>
          <w:sz w:val="32"/>
          <w:szCs w:val="32"/>
        </w:rPr>
        <w:t>涉嫌</w:t>
      </w:r>
      <w:r>
        <w:rPr>
          <w:rFonts w:hint="eastAsia" w:ascii="仿宋" w:hAnsi="仿宋" w:eastAsia="仿宋" w:cs="仿宋_GB2312"/>
          <w:spacing w:val="4"/>
          <w:sz w:val="32"/>
          <w:szCs w:val="32"/>
        </w:rPr>
        <w:t>经营过期医疗器械。</w:t>
      </w:r>
      <w:r>
        <w:rPr>
          <w:rFonts w:hint="eastAsia" w:ascii="仿宋" w:hAnsi="仿宋" w:eastAsia="仿宋" w:cs="仿宋_GB2312"/>
          <w:sz w:val="32"/>
          <w:szCs w:val="32"/>
        </w:rPr>
        <w:t>为进一步查清事实，我局于2023年8月1日立案，并通过询问当事人，调取相关证据对案件进行调查。</w:t>
      </w:r>
    </w:p>
    <w:p>
      <w:pPr>
        <w:pStyle w:val="2"/>
        <w:autoSpaceDN/>
        <w:adjustRightInd/>
        <w:spacing w:line="600" w:lineRule="exact"/>
        <w:ind w:firstLine="640" w:firstLineChars="200"/>
        <w:jc w:val="both"/>
        <w:rPr>
          <w:rFonts w:ascii="仿宋" w:hAnsi="仿宋" w:eastAsia="仿宋" w:cs="仿宋"/>
        </w:rPr>
      </w:pPr>
      <w:r>
        <w:rPr>
          <w:rFonts w:hint="eastAsia" w:ascii="仿宋" w:hAnsi="仿宋" w:eastAsia="仿宋" w:cs="仿宋_GB2312"/>
        </w:rPr>
        <w:t>2022年11月，当事人从河南森福源医药科技有限公司购进第二类医疗器械森福源穴位贴敷治疗贴4盒，每盒25袋，每袋2贴，4盒共计200贴。该治疗贴</w:t>
      </w:r>
      <w:r>
        <w:rPr>
          <w:rFonts w:hint="eastAsia" w:ascii="仿宋" w:hAnsi="仿宋" w:eastAsia="仿宋" w:cs="仿宋"/>
        </w:rPr>
        <w:t>生产许可证号：鲁食药监械生产许20140114号；注册证编号：鲁械注准20152090318；产品批号：21043501；生产企业：山东皇圣堂药业有限公司；生产日期2021/04/27；有效期至2023/04/26。该治疗贴进价6元/贴，售价10元/贴，未履行进货查验制度。经查，上述治疗贴在有效期内售出164贴，剩余36贴已超过有效期，货值金额360元。</w:t>
      </w:r>
    </w:p>
    <w:p>
      <w:pPr>
        <w:spacing w:line="600" w:lineRule="exact"/>
        <w:ind w:firstLine="640" w:firstLineChars="200"/>
        <w:rPr>
          <w:rFonts w:ascii="仿宋" w:hAnsi="仿宋" w:eastAsia="仿宋" w:cs="Mongolian Baiti"/>
          <w:kern w:val="1"/>
          <w:sz w:val="32"/>
          <w:szCs w:val="32"/>
        </w:rPr>
      </w:pPr>
      <w:r>
        <w:rPr>
          <w:rFonts w:ascii="仿宋" w:hAnsi="仿宋" w:eastAsia="仿宋" w:cs="Mongolian Baiti"/>
          <w:kern w:val="1"/>
          <w:sz w:val="32"/>
          <w:szCs w:val="32"/>
        </w:rPr>
        <w:t>上述事实，主要有以下证据证明</w:t>
      </w:r>
      <w:r>
        <w:rPr>
          <w:rFonts w:hint="eastAsia" w:ascii="仿宋" w:hAnsi="仿宋" w:eastAsia="仿宋" w:cs="Mongolian Baiti"/>
          <w:kern w:val="1"/>
          <w:sz w:val="32"/>
          <w:szCs w:val="32"/>
        </w:rPr>
        <w:t>：</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1.营业执照及药品经营许可证复印件，证明当事人的主体资格；</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2.当事人身份证复印件，证明当事人身份主体情况；</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仿宋_GB2312"/>
          <w:sz w:val="32"/>
          <w:szCs w:val="32"/>
        </w:rPr>
        <w:t>3.</w:t>
      </w:r>
      <w:r>
        <w:rPr>
          <w:rFonts w:hint="eastAsia" w:ascii="仿宋" w:hAnsi="仿宋" w:eastAsia="仿宋" w:cs="宋体"/>
          <w:color w:val="000000"/>
          <w:kern w:val="0"/>
          <w:sz w:val="32"/>
          <w:szCs w:val="32"/>
        </w:rPr>
        <w:t>《现场检查笔录》证明现场检查情况；</w:t>
      </w:r>
    </w:p>
    <w:p>
      <w:pPr>
        <w:spacing w:line="600" w:lineRule="exact"/>
        <w:ind w:firstLine="640" w:firstLineChars="200"/>
        <w:rPr>
          <w:rFonts w:ascii="仿宋" w:hAnsi="仿宋" w:eastAsia="仿宋" w:cs="仿宋_GB2312"/>
          <w:sz w:val="32"/>
          <w:szCs w:val="32"/>
        </w:rPr>
      </w:pPr>
      <w:r>
        <w:rPr>
          <w:rFonts w:hint="eastAsia" w:ascii="仿宋" w:hAnsi="仿宋" w:eastAsia="仿宋" w:cs="宋体"/>
          <w:color w:val="000000"/>
          <w:kern w:val="0"/>
          <w:sz w:val="32"/>
          <w:szCs w:val="32"/>
        </w:rPr>
        <w:t>4.《询问笔录》</w:t>
      </w:r>
      <w:r>
        <w:rPr>
          <w:rFonts w:hint="eastAsia" w:ascii="仿宋" w:hAnsi="仿宋" w:eastAsia="仿宋" w:cs="仿宋_GB2312"/>
          <w:sz w:val="32"/>
          <w:szCs w:val="32"/>
        </w:rPr>
        <w:t>，证明当事人的违法事实；</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5.照片，证明当事人经营的医疗器械森福源穴位贴敷治疗贴已超过有效期。</w:t>
      </w:r>
    </w:p>
    <w:p>
      <w:pPr>
        <w:widowControl/>
        <w:spacing w:line="600" w:lineRule="exact"/>
        <w:ind w:firstLine="640" w:firstLineChars="200"/>
        <w:rPr>
          <w:rFonts w:ascii="仿宋" w:hAnsi="仿宋" w:eastAsia="仿宋" w:cs="仿宋_GB2312"/>
          <w:sz w:val="32"/>
          <w:szCs w:val="32"/>
        </w:rPr>
      </w:pPr>
      <w:r>
        <w:rPr>
          <w:rFonts w:hint="eastAsia" w:ascii="仿宋" w:hAnsi="仿宋" w:eastAsia="仿宋" w:cs="仿宋"/>
          <w:kern w:val="1"/>
          <w:sz w:val="32"/>
          <w:szCs w:val="32"/>
        </w:rPr>
        <w:t>本局认为，</w:t>
      </w:r>
      <w:r>
        <w:rPr>
          <w:rFonts w:hint="eastAsia" w:ascii="仿宋" w:hAnsi="仿宋" w:eastAsia="仿宋" w:cs="仿宋_GB2312"/>
          <w:sz w:val="32"/>
          <w:szCs w:val="32"/>
        </w:rPr>
        <w:t>当事人经营过期医疗器械的行为，违反了《医疗器械监督管理条例》第五十五条“医疗器械经营企业、使用单位不得经营、使用未依法注册或者备案、无合格证明文件以及过期、失效、淘汰的医疗器械。”之规定。</w:t>
      </w:r>
    </w:p>
    <w:p>
      <w:pPr>
        <w:widowControl/>
        <w:spacing w:line="600" w:lineRule="exact"/>
        <w:ind w:firstLine="640" w:firstLineChars="200"/>
        <w:rPr>
          <w:rFonts w:ascii="仿宋" w:hAnsi="仿宋" w:eastAsia="仿宋" w:cs="仿宋_GB2312"/>
          <w:color w:val="000000"/>
          <w:kern w:val="0"/>
          <w:sz w:val="32"/>
          <w:szCs w:val="32"/>
          <w:lang w:bidi="ar"/>
        </w:rPr>
      </w:pPr>
      <w:r>
        <w:rPr>
          <w:rFonts w:hint="eastAsia" w:ascii="仿宋" w:hAnsi="仿宋" w:eastAsia="仿宋" w:cs="仿宋_GB2312"/>
          <w:bCs/>
          <w:sz w:val="32"/>
          <w:szCs w:val="32"/>
        </w:rPr>
        <w:t>参照《河南省市场监督管理行政处罚裁量权适用通则》</w:t>
      </w:r>
      <w:r>
        <w:rPr>
          <w:rFonts w:hint="eastAsia" w:ascii="仿宋" w:hAnsi="仿宋" w:eastAsia="仿宋" w:cs="仿宋"/>
          <w:color w:val="000000"/>
          <w:kern w:val="0"/>
          <w:sz w:val="32"/>
          <w:szCs w:val="32"/>
          <w:lang w:bidi="ar"/>
        </w:rPr>
        <w:t>第十八条“当事人不具备不予行政处罚、减轻、从轻或者从重行政处罚情形的，应当给予一般行政处罚。”之规定，综合考虑当事人违法的</w:t>
      </w:r>
      <w:r>
        <w:rPr>
          <w:rFonts w:ascii="仿宋" w:hAnsi="仿宋" w:eastAsia="仿宋" w:cs="仿宋_GB2312"/>
          <w:color w:val="000000"/>
          <w:kern w:val="0"/>
          <w:sz w:val="32"/>
          <w:szCs w:val="32"/>
          <w:lang w:bidi="ar"/>
        </w:rPr>
        <w:t>事实</w:t>
      </w:r>
      <w:r>
        <w:rPr>
          <w:rFonts w:hint="eastAsia" w:ascii="仿宋" w:hAnsi="仿宋" w:eastAsia="仿宋" w:cs="仿宋_GB2312"/>
          <w:color w:val="000000"/>
          <w:kern w:val="0"/>
          <w:sz w:val="32"/>
          <w:szCs w:val="32"/>
          <w:lang w:bidi="ar"/>
        </w:rPr>
        <w:t>、</w:t>
      </w:r>
      <w:r>
        <w:rPr>
          <w:rFonts w:ascii="仿宋" w:hAnsi="仿宋" w:eastAsia="仿宋" w:cs="仿宋_GB2312"/>
          <w:color w:val="000000"/>
          <w:kern w:val="0"/>
          <w:sz w:val="32"/>
          <w:szCs w:val="32"/>
          <w:lang w:bidi="ar"/>
        </w:rPr>
        <w:t>性质、情节、社会危害程度等</w:t>
      </w:r>
      <w:r>
        <w:rPr>
          <w:rFonts w:hint="eastAsia" w:ascii="仿宋" w:hAnsi="仿宋" w:eastAsia="仿宋" w:cs="仿宋_GB2312"/>
          <w:color w:val="000000"/>
          <w:kern w:val="0"/>
          <w:sz w:val="32"/>
          <w:szCs w:val="32"/>
          <w:lang w:bidi="ar"/>
        </w:rPr>
        <w:t>因素，依法给予其一般行政处罚。</w:t>
      </w:r>
    </w:p>
    <w:p>
      <w:pPr>
        <w:spacing w:line="600" w:lineRule="exact"/>
        <w:ind w:firstLine="640" w:firstLineChars="200"/>
        <w:rPr>
          <w:rFonts w:ascii="仿宋" w:hAnsi="仿宋" w:eastAsia="仿宋" w:cs="仿宋"/>
          <w:sz w:val="32"/>
          <w:szCs w:val="32"/>
        </w:rPr>
      </w:pPr>
      <w:r>
        <w:rPr>
          <w:rFonts w:hint="eastAsia" w:ascii="仿宋" w:hAnsi="仿宋" w:eastAsia="仿宋" w:cs="仿宋"/>
          <w:color w:val="000000"/>
          <w:sz w:val="32"/>
          <w:szCs w:val="32"/>
        </w:rPr>
        <w:t>我局于2024年5月10日</w:t>
      </w:r>
      <w:r>
        <w:rPr>
          <w:rFonts w:hint="eastAsia" w:ascii="仿宋" w:hAnsi="仿宋" w:eastAsia="仿宋" w:cs="仿宋"/>
          <w:sz w:val="32"/>
          <w:szCs w:val="32"/>
        </w:rPr>
        <w:t>向当事人送达偃市监罚告〔2024〕2023136号《行政处罚告知书》，依据《中华人民共和国行政处罚法》第四十四条、第四十五条，告知当事人我局拟作出行政处罚决定的事实、理由、依据、内容以及当事人依法享有的陈述权、申辩权。当事人在法定期限内未向我局提出陈述、申辩意见。</w:t>
      </w:r>
    </w:p>
    <w:p>
      <w:pPr>
        <w:widowControl/>
        <w:spacing w:line="600" w:lineRule="exact"/>
        <w:ind w:firstLine="512" w:firstLineChars="200"/>
        <w:rPr>
          <w:rFonts w:ascii="仿宋" w:hAnsi="仿宋" w:eastAsia="仿宋" w:cs="仿宋_GB2312"/>
          <w:sz w:val="32"/>
          <w:szCs w:val="32"/>
        </w:rPr>
      </w:pPr>
      <w:r>
        <w:rPr>
          <w:rFonts w:hint="eastAsia" w:ascii="仿宋" w:hAnsi="仿宋" w:eastAsia="仿宋" w:cs="仿宋_GB2312"/>
          <w:spacing w:val="-32"/>
          <w:sz w:val="32"/>
          <w:szCs w:val="32"/>
        </w:rPr>
        <w:t>依据</w:t>
      </w:r>
      <w:r>
        <w:rPr>
          <w:rFonts w:hint="eastAsia" w:ascii="仿宋" w:hAnsi="仿宋" w:eastAsia="仿宋" w:cs="仿宋_GB2312"/>
          <w:sz w:val="32"/>
          <w:szCs w:val="32"/>
        </w:rPr>
        <w:t>《医疗器械监督管理条例》第八十六条“</w:t>
      </w:r>
      <w:r>
        <w:rPr>
          <w:rFonts w:hint="eastAsia" w:ascii="仿宋" w:hAnsi="仿宋" w:eastAsia="仿宋" w:cs="仿宋"/>
          <w:color w:val="000000"/>
          <w:kern w:val="0"/>
          <w:sz w:val="32"/>
          <w:szCs w:val="32"/>
          <w:lang w:bidi="ar"/>
        </w:rPr>
        <w:t>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三）经营、使用无合格证明文件、过期、失效、淘汰的医疗器械，或者使用未依法注册的医疗器械；</w:t>
      </w:r>
      <w:r>
        <w:rPr>
          <w:rFonts w:hint="eastAsia" w:ascii="仿宋" w:hAnsi="仿宋" w:eastAsia="仿宋" w:cs="仿宋_GB2312"/>
          <w:sz w:val="32"/>
          <w:szCs w:val="32"/>
        </w:rPr>
        <w:t>”之规定，</w:t>
      </w:r>
      <w:r>
        <w:rPr>
          <w:rFonts w:hint="eastAsia" w:ascii="仿宋" w:hAnsi="仿宋" w:eastAsia="仿宋" w:cs="仿宋"/>
          <w:bCs/>
          <w:sz w:val="32"/>
          <w:szCs w:val="32"/>
        </w:rPr>
        <w:t>参照《</w:t>
      </w:r>
      <w:r>
        <w:rPr>
          <w:rFonts w:hint="eastAsia" w:ascii="仿宋" w:hAnsi="仿宋" w:eastAsia="仿宋" w:cs="仿宋"/>
          <w:color w:val="000000"/>
          <w:kern w:val="0"/>
          <w:sz w:val="32"/>
          <w:szCs w:val="32"/>
          <w:lang w:bidi="ar"/>
        </w:rPr>
        <w:t>河南省市场监督管理行政处罚裁量基准</w:t>
      </w:r>
      <w:r>
        <w:rPr>
          <w:rFonts w:hint="eastAsia" w:ascii="仿宋" w:hAnsi="仿宋" w:eastAsia="仿宋" w:cs="仿宋"/>
          <w:bCs/>
          <w:sz w:val="32"/>
          <w:szCs w:val="32"/>
        </w:rPr>
        <w:t>》9.1.6“依据</w:t>
      </w:r>
      <w:r>
        <w:rPr>
          <w:rFonts w:hint="eastAsia" w:ascii="仿宋" w:hAnsi="仿宋" w:eastAsia="仿宋" w:cs="仿宋_GB2312"/>
          <w:sz w:val="32"/>
          <w:szCs w:val="32"/>
        </w:rPr>
        <w:t xml:space="preserve">《医疗器械监督管理条例》第八十六条实施的行政处罚 裁量基准 </w:t>
      </w:r>
      <w:r>
        <w:rPr>
          <w:rFonts w:hint="eastAsia" w:ascii="仿宋" w:hAnsi="仿宋" w:eastAsia="仿宋" w:cs="仿宋"/>
          <w:color w:val="000000"/>
          <w:kern w:val="0"/>
          <w:sz w:val="32"/>
          <w:szCs w:val="32"/>
          <w:lang w:bidi="ar"/>
        </w:rPr>
        <w:t>由负责药品监督管理的部门责令改正，没收违法生产经营使用的医疗器械；违法生产经营使用的医疗器械货值金额不足1万元的，并处2.9万元以上4.1万元以下罚款；货值金额1万元以上的，并处货值金额9.5倍以上15.5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1.11倍以上2.19倍以下罚款，10年内禁止其从事医疗器械生产经营活动。”之规定，决定</w:t>
      </w:r>
      <w:r>
        <w:rPr>
          <w:rFonts w:hint="eastAsia" w:ascii="仿宋" w:hAnsi="仿宋" w:eastAsia="仿宋" w:cs="仿宋_GB2312"/>
          <w:sz w:val="32"/>
          <w:szCs w:val="32"/>
        </w:rPr>
        <w:t>对</w:t>
      </w:r>
      <w:r>
        <w:rPr>
          <w:rFonts w:hint="eastAsia" w:ascii="仿宋" w:hAnsi="仿宋" w:eastAsia="仿宋" w:cs="仿宋"/>
          <w:color w:val="000000"/>
          <w:sz w:val="32"/>
          <w:szCs w:val="32"/>
        </w:rPr>
        <w:t>洛阳市世</w:t>
      </w:r>
      <w:r>
        <w:rPr>
          <w:rFonts w:hint="eastAsia" w:ascii="仿宋" w:hAnsi="仿宋" w:eastAsia="仿宋" w:cs="仿宋"/>
          <w:sz w:val="32"/>
          <w:szCs w:val="32"/>
        </w:rPr>
        <w:t>好大药房店责令改正</w:t>
      </w:r>
      <w:r>
        <w:rPr>
          <w:rFonts w:hint="eastAsia" w:ascii="仿宋" w:hAnsi="仿宋" w:eastAsia="仿宋" w:cs="仿宋_GB2312"/>
          <w:sz w:val="32"/>
          <w:szCs w:val="32"/>
        </w:rPr>
        <w:t>，没收过期医疗器械森福源穴位贴敷治疗贴36贴，处30000元罚款。</w:t>
      </w:r>
    </w:p>
    <w:p>
      <w:pPr>
        <w:spacing w:line="600" w:lineRule="exact"/>
        <w:ind w:right="-19" w:rightChars="-9"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600" w:lineRule="exact"/>
        <w:ind w:right="-19" w:rightChars="-9"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p>
    <w:p>
      <w:pPr>
        <w:spacing w:line="600" w:lineRule="exact"/>
        <w:ind w:right="-19" w:rightChars="-9" w:firstLine="640" w:firstLineChars="200"/>
        <w:textAlignment w:val="baseline"/>
        <w:rPr>
          <w:rFonts w:ascii="仿宋" w:hAnsi="仿宋" w:eastAsia="仿宋" w:cs="仿宋"/>
          <w:sz w:val="32"/>
          <w:szCs w:val="32"/>
        </w:rPr>
      </w:pPr>
      <w:r>
        <w:rPr>
          <w:rFonts w:hint="eastAsia" w:ascii="仿宋" w:hAnsi="仿宋" w:eastAsia="仿宋" w:cs="仿宋"/>
          <w:color w:val="231F20"/>
          <w:kern w:val="0"/>
          <w:sz w:val="32"/>
          <w:szCs w:val="32"/>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pPr>
        <w:spacing w:line="600" w:lineRule="exact"/>
        <w:ind w:right="-19" w:rightChars="-9" w:firstLine="3200" w:firstLineChars="1000"/>
        <w:textAlignment w:val="baseline"/>
        <w:rPr>
          <w:rFonts w:ascii="仿宋" w:hAnsi="仿宋" w:eastAsia="仿宋" w:cs="仿宋"/>
          <w:sz w:val="32"/>
          <w:szCs w:val="32"/>
        </w:rPr>
      </w:pPr>
    </w:p>
    <w:p>
      <w:pPr>
        <w:spacing w:line="600" w:lineRule="exact"/>
        <w:ind w:right="-19" w:rightChars="-9" w:firstLine="3520" w:firstLineChars="1100"/>
        <w:textAlignment w:val="baseline"/>
        <w:rPr>
          <w:rFonts w:ascii="仿宋" w:hAnsi="仿宋" w:eastAsia="仿宋" w:cs="仿宋"/>
          <w:sz w:val="32"/>
          <w:szCs w:val="32"/>
        </w:rPr>
      </w:pPr>
    </w:p>
    <w:p>
      <w:pPr>
        <w:spacing w:line="600" w:lineRule="exact"/>
        <w:ind w:right="-19" w:rightChars="-9" w:firstLine="3520" w:firstLineChars="1100"/>
        <w:textAlignment w:val="baseline"/>
        <w:rPr>
          <w:rFonts w:hint="eastAsia" w:ascii="仿宋" w:hAnsi="仿宋" w:eastAsia="仿宋" w:cs="仿宋"/>
          <w:sz w:val="32"/>
          <w:szCs w:val="32"/>
        </w:rPr>
      </w:pPr>
    </w:p>
    <w:p>
      <w:pPr>
        <w:spacing w:line="600" w:lineRule="exact"/>
        <w:ind w:right="-19" w:rightChars="-9" w:firstLine="3520" w:firstLineChars="1100"/>
        <w:textAlignment w:val="baseline"/>
        <w:rPr>
          <w:rFonts w:ascii="仿宋" w:hAnsi="仿宋" w:eastAsia="仿宋" w:cs="仿宋"/>
          <w:sz w:val="32"/>
          <w:szCs w:val="32"/>
        </w:rPr>
      </w:pPr>
      <w:r>
        <w:rPr>
          <w:rFonts w:hint="eastAsia" w:ascii="仿宋" w:hAnsi="仿宋" w:eastAsia="仿宋" w:cs="仿宋"/>
          <w:sz w:val="32"/>
          <w:szCs w:val="32"/>
        </w:rPr>
        <w:t>洛阳市偃师区市场监督管理局</w:t>
      </w:r>
    </w:p>
    <w:p>
      <w:pPr>
        <w:spacing w:line="600" w:lineRule="exact"/>
        <w:ind w:right="-19" w:rightChars="-9" w:firstLine="4480" w:firstLineChars="1400"/>
        <w:textAlignment w:val="baseline"/>
        <w:rPr>
          <w:rFonts w:ascii="仿宋" w:hAnsi="仿宋" w:eastAsia="仿宋" w:cs="仿宋"/>
          <w:sz w:val="32"/>
          <w:szCs w:val="32"/>
        </w:rPr>
      </w:pPr>
    </w:p>
    <w:p>
      <w:pPr>
        <w:spacing w:line="600" w:lineRule="exact"/>
        <w:ind w:right="-19" w:rightChars="-9" w:firstLine="4480" w:firstLineChars="1400"/>
        <w:textAlignment w:val="baseline"/>
        <w:rPr>
          <w:rFonts w:ascii="仿宋" w:hAnsi="仿宋" w:eastAsia="仿宋" w:cs="仿宋"/>
          <w:sz w:val="32"/>
          <w:szCs w:val="32"/>
        </w:rPr>
      </w:pPr>
      <w:r>
        <w:rPr>
          <w:rFonts w:hint="eastAsia" w:ascii="仿宋" w:hAnsi="仿宋" w:eastAsia="仿宋" w:cs="仿宋"/>
          <w:sz w:val="32"/>
          <w:szCs w:val="32"/>
        </w:rPr>
        <w:t>2024年5月29日</w:t>
      </w:r>
    </w:p>
    <w:p>
      <w:pPr>
        <w:pStyle w:val="2"/>
        <w:tabs>
          <w:tab w:val="left" w:pos="9060"/>
        </w:tabs>
        <w:spacing w:line="600" w:lineRule="exact"/>
        <w:jc w:val="both"/>
        <w:rPr>
          <w:rFonts w:ascii="仿宋" w:hAnsi="仿宋" w:eastAsia="仿宋"/>
          <w:spacing w:val="-16"/>
        </w:rPr>
      </w:pPr>
    </w:p>
    <w:p>
      <w:pPr>
        <w:pStyle w:val="2"/>
        <w:tabs>
          <w:tab w:val="left" w:pos="9060"/>
        </w:tabs>
        <w:spacing w:line="600" w:lineRule="exact"/>
        <w:jc w:val="both"/>
        <w:rPr>
          <w:rFonts w:ascii="仿宋" w:hAnsi="仿宋" w:eastAsia="仿宋"/>
          <w:spacing w:val="-16"/>
        </w:rPr>
      </w:pPr>
    </w:p>
    <w:p>
      <w:pPr>
        <w:pStyle w:val="2"/>
        <w:tabs>
          <w:tab w:val="left" w:pos="9060"/>
        </w:tabs>
        <w:spacing w:line="600" w:lineRule="exact"/>
        <w:jc w:val="both"/>
        <w:rPr>
          <w:rFonts w:ascii="仿宋" w:hAnsi="仿宋" w:eastAsia="仿宋"/>
          <w:spacing w:val="-16"/>
        </w:rPr>
      </w:pPr>
    </w:p>
    <w:p>
      <w:pPr>
        <w:pStyle w:val="2"/>
        <w:tabs>
          <w:tab w:val="left" w:pos="9060"/>
        </w:tabs>
        <w:spacing w:line="600" w:lineRule="exact"/>
        <w:jc w:val="both"/>
        <w:rPr>
          <w:rFonts w:ascii="仿宋" w:hAnsi="仿宋" w:eastAsia="仿宋"/>
          <w:spacing w:val="-16"/>
        </w:rPr>
      </w:pPr>
    </w:p>
    <w:p>
      <w:pPr>
        <w:pStyle w:val="2"/>
        <w:tabs>
          <w:tab w:val="left" w:pos="9060"/>
        </w:tabs>
        <w:spacing w:line="600" w:lineRule="exact"/>
        <w:jc w:val="both"/>
        <w:rPr>
          <w:rFonts w:ascii="仿宋" w:hAnsi="仿宋" w:eastAsia="仿宋"/>
          <w:spacing w:val="-16"/>
        </w:rPr>
      </w:pPr>
    </w:p>
    <w:p>
      <w:pPr>
        <w:pStyle w:val="2"/>
        <w:tabs>
          <w:tab w:val="left" w:pos="9060"/>
        </w:tabs>
        <w:spacing w:line="600" w:lineRule="exact"/>
        <w:jc w:val="both"/>
        <w:rPr>
          <w:rFonts w:ascii="仿宋" w:hAnsi="仿宋" w:eastAsia="仿宋"/>
          <w:spacing w:val="-16"/>
        </w:rPr>
      </w:pPr>
    </w:p>
    <w:p>
      <w:pPr>
        <w:pStyle w:val="2"/>
        <w:tabs>
          <w:tab w:val="left" w:pos="9060"/>
        </w:tabs>
        <w:spacing w:line="600" w:lineRule="exact"/>
        <w:jc w:val="both"/>
        <w:rPr>
          <w:rFonts w:ascii="仿宋" w:hAnsi="仿宋" w:eastAsia="仿宋"/>
          <w:spacing w:val="-16"/>
        </w:rPr>
      </w:pPr>
    </w:p>
    <w:p>
      <w:pPr>
        <w:pStyle w:val="2"/>
        <w:tabs>
          <w:tab w:val="left" w:pos="9060"/>
        </w:tabs>
        <w:spacing w:line="600" w:lineRule="exact"/>
        <w:jc w:val="both"/>
        <w:rPr>
          <w:rFonts w:ascii="仿宋" w:hAnsi="仿宋" w:eastAsia="仿宋"/>
          <w:spacing w:val="-16"/>
        </w:rPr>
      </w:pPr>
    </w:p>
    <w:p>
      <w:pPr>
        <w:pStyle w:val="2"/>
        <w:tabs>
          <w:tab w:val="left" w:pos="9060"/>
        </w:tabs>
        <w:spacing w:line="600" w:lineRule="exact"/>
        <w:jc w:val="both"/>
        <w:rPr>
          <w:rFonts w:ascii="仿宋" w:hAnsi="仿宋" w:eastAsia="仿宋"/>
          <w:spacing w:val="-16"/>
        </w:rPr>
      </w:pPr>
    </w:p>
    <w:p>
      <w:pPr>
        <w:pStyle w:val="2"/>
        <w:tabs>
          <w:tab w:val="left" w:pos="9060"/>
        </w:tabs>
        <w:spacing w:line="600" w:lineRule="exact"/>
        <w:jc w:val="both"/>
        <w:rPr>
          <w:rFonts w:hint="eastAsia" w:ascii="仿宋" w:hAnsi="仿宋" w:eastAsia="仿宋"/>
          <w:spacing w:val="-16"/>
        </w:rPr>
      </w:pPr>
    </w:p>
    <w:p>
      <w:pPr>
        <w:pStyle w:val="2"/>
        <w:tabs>
          <w:tab w:val="left" w:pos="9072"/>
        </w:tabs>
        <w:spacing w:line="620" w:lineRule="exact"/>
        <w:ind w:right="-197" w:rightChars="-94"/>
        <w:jc w:val="both"/>
        <w:rPr>
          <w:rFonts w:ascii="Times New Roman" w:eastAsia="仿宋_GB2312" w:cs="仿宋"/>
          <w:color w:val="000000"/>
          <w:kern w:val="2"/>
        </w:rPr>
      </w:pPr>
      <w:r>
        <w:rPr>
          <w:rFonts w:hint="eastAsia" w:ascii="Times New Roman" w:eastAsia="仿宋_GB2312" w:cs="仿宋"/>
          <w:color w:val="000000"/>
          <w:kern w:val="2"/>
        </w:rPr>
        <w:t>（市场监督管理部门将依法向社会公开行政处罚决定信息）</w:t>
      </w:r>
    </w:p>
    <w:p>
      <w:pPr>
        <w:pStyle w:val="2"/>
        <w:tabs>
          <w:tab w:val="left" w:pos="9072"/>
        </w:tabs>
        <w:spacing w:line="620" w:lineRule="exact"/>
        <w:ind w:right="-197" w:rightChars="-94"/>
        <w:jc w:val="both"/>
        <w:rPr>
          <w:rFonts w:ascii="Times New Roman" w:eastAsia="仿宋_GB2312" w:cs="仿宋"/>
          <w:color w:val="000000"/>
        </w:rPr>
      </w:pPr>
      <w:r>
        <mc:AlternateContent>
          <mc:Choice Requires="wps">
            <w:drawing>
              <wp:anchor distT="0" distB="0" distL="114300" distR="114300" simplePos="0" relativeHeight="251660288" behindDoc="0" locked="0" layoutInCell="1" allowOverlap="1">
                <wp:simplePos x="0" y="0"/>
                <wp:positionH relativeFrom="column">
                  <wp:posOffset>53340</wp:posOffset>
                </wp:positionH>
                <wp:positionV relativeFrom="paragraph">
                  <wp:posOffset>21590</wp:posOffset>
                </wp:positionV>
                <wp:extent cx="5036820" cy="0"/>
                <wp:effectExtent l="0" t="7620" r="7620" b="15240"/>
                <wp:wrapNone/>
                <wp:docPr id="4" name="直接连接符 2"/>
                <wp:cNvGraphicFramePr/>
                <a:graphic xmlns:a="http://schemas.openxmlformats.org/drawingml/2006/main">
                  <a:graphicData uri="http://schemas.microsoft.com/office/word/2010/wordprocessingShape">
                    <wps:wsp>
                      <wps:cNvCnPr/>
                      <wps:spPr>
                        <a:xfrm>
                          <a:off x="0" y="0"/>
                          <a:ext cx="5036820"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4.2pt;margin-top:1.7pt;height:0pt;width:396.6pt;z-index:251660288;mso-width-relative:page;mso-height-relative:page;" filled="f" stroked="t" coordsize="21600,21600" o:gfxdata="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U7QK1AAAAAUBAAAPAAAAAAAAAAEAIAAAACIAAABkcnMvZG93bnJldi54bWxQSwECFAAUAAAA&#10;CACHTuJAGFEKB/IBAADnAwAADgAAAAAAAAABACAAAAAjAQAAZHJzL2Uyb0RvYy54bWxQSwUGAAAA&#10;AAYABgBZAQAAhwUAAAAA&#10;">
                <v:fill on="f" focussize="0,0"/>
                <v:stroke weight="1.25pt" color="#000000" joinstyle="round"/>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6" name="直接连接符 1"/>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0pt;margin-top:1638.35pt;height:0.1pt;width:453.75pt;z-index:251661312;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L7/OR1wAAAAoBAAAPAAAAAAAAAAEAIAAAACIAAABkcnMvZG93bnJldi54bWxQSwEC&#10;FAAUAAAACACHTuJAjubClfUBAADnAwAADgAAAAAAAAABACAAAAAmAQAAZHJzL2Uyb0RvYy54bWxQ&#10;SwUGAAAAAAYABgBZAQAAjQUAAAAA&#10;">
                <v:fill on="f" focussize="0,0"/>
                <v:stroke weight="0.737007874015748pt" color="#000000" joinstyle="round" endcap="square"/>
                <v:imagedata o:title=""/>
                <o:lock v:ext="edit" aspectratio="f"/>
              </v:line>
            </w:pict>
          </mc:Fallback>
        </mc:AlternateContent>
      </w:r>
      <w:r>
        <w:rPr>
          <w:rFonts w:hint="eastAsia" w:ascii="Times New Roman" w:eastAsia="仿宋_GB2312" w:cs="仿宋"/>
          <w:color w:val="000000"/>
        </w:rPr>
        <w:t>本文书一式</w:t>
      </w:r>
      <w:r>
        <w:rPr>
          <w:rFonts w:hint="eastAsia" w:ascii="Times New Roman" w:eastAsia="仿宋_GB2312" w:cs="仿宋"/>
          <w:color w:val="000000"/>
          <w:u w:val="single"/>
        </w:rPr>
        <w:t>三</w:t>
      </w:r>
      <w:r>
        <w:rPr>
          <w:rFonts w:hint="eastAsia" w:ascii="Times New Roman" w:eastAsia="仿宋_GB2312" w:cs="仿宋"/>
          <w:color w:val="000000"/>
        </w:rPr>
        <w:t>份，</w:t>
      </w:r>
      <w:r>
        <w:rPr>
          <w:rFonts w:hint="eastAsia" w:ascii="Times New Roman" w:eastAsia="仿宋_GB2312" w:cs="仿宋"/>
          <w:color w:val="000000"/>
          <w:u w:val="single"/>
        </w:rPr>
        <w:t>一</w:t>
      </w:r>
      <w:r>
        <w:rPr>
          <w:rFonts w:hint="eastAsia" w:ascii="Times New Roman" w:eastAsia="仿宋_GB2312" w:cs="仿宋"/>
          <w:color w:val="000000"/>
        </w:rPr>
        <w:t>份送达，</w:t>
      </w:r>
      <w:r>
        <w:rPr>
          <w:rFonts w:hint="eastAsia" w:ascii="Times New Roman" w:eastAsia="仿宋_GB2312" w:cs="仿宋"/>
          <w:color w:val="000000"/>
          <w:u w:val="single"/>
        </w:rPr>
        <w:t>一</w:t>
      </w:r>
      <w:r>
        <w:rPr>
          <w:rFonts w:hint="eastAsia" w:ascii="Times New Roman" w:eastAsia="仿宋_GB2312" w:cs="仿宋"/>
          <w:color w:val="000000"/>
        </w:rPr>
        <w:t>份归档，</w:t>
      </w:r>
      <w:r>
        <w:rPr>
          <w:rFonts w:hint="eastAsia" w:ascii="Times New Roman" w:eastAsia="仿宋_GB2312" w:cs="仿宋"/>
          <w:color w:val="000000"/>
          <w:u w:val="single"/>
        </w:rPr>
        <w:t>一</w:t>
      </w:r>
      <w:r>
        <w:rPr>
          <w:rFonts w:hint="eastAsia" w:ascii="Times New Roman" w:eastAsia="仿宋_GB2312" w:cs="仿宋"/>
          <w:color w:val="000000"/>
        </w:rPr>
        <w:t>份办案机构留存。</w:t>
      </w:r>
    </w:p>
    <w:p>
      <w:pPr>
        <w:pStyle w:val="2"/>
        <w:tabs>
          <w:tab w:val="left" w:pos="9072"/>
        </w:tabs>
        <w:spacing w:line="620" w:lineRule="exact"/>
        <w:ind w:right="-197" w:rightChars="-94"/>
        <w:jc w:val="both"/>
        <w:rPr>
          <w:rFonts w:hint="eastAsia" w:ascii="Times New Roman" w:eastAsia="仿宋_GB2312" w:cs="仿宋"/>
          <w:color w:val="000000"/>
          <w:kern w:val="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spacing w:line="560" w:lineRule="exact"/>
        <w:rPr>
          <w:rFonts w:hint="eastAsia"/>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527267EF"/>
    <w:rsid w:val="00344F4E"/>
    <w:rsid w:val="007B5A9E"/>
    <w:rsid w:val="008B6856"/>
    <w:rsid w:val="009C2213"/>
    <w:rsid w:val="00AB5A94"/>
    <w:rsid w:val="00B26F58"/>
    <w:rsid w:val="00C542A8"/>
    <w:rsid w:val="00DF6D6A"/>
    <w:rsid w:val="04391613"/>
    <w:rsid w:val="06410E51"/>
    <w:rsid w:val="0F380715"/>
    <w:rsid w:val="19AE64A7"/>
    <w:rsid w:val="1A3146DE"/>
    <w:rsid w:val="2D2752B0"/>
    <w:rsid w:val="347436ED"/>
    <w:rsid w:val="40A06E71"/>
    <w:rsid w:val="46716CA4"/>
    <w:rsid w:val="4695042E"/>
    <w:rsid w:val="48D04F3E"/>
    <w:rsid w:val="527267EF"/>
    <w:rsid w:val="53FB308C"/>
    <w:rsid w:val="5B10566E"/>
    <w:rsid w:val="64BE0C18"/>
    <w:rsid w:val="724924C8"/>
    <w:rsid w:val="789A1B46"/>
    <w:rsid w:val="7B590514"/>
    <w:rsid w:val="7C556F2D"/>
    <w:rsid w:val="7E532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footer"/>
    <w:basedOn w:val="1"/>
    <w:autoRedefine/>
    <w:qFormat/>
    <w:uiPriority w:val="99"/>
    <w:pPr>
      <w:tabs>
        <w:tab w:val="center" w:pos="4153"/>
        <w:tab w:val="right" w:pos="8306"/>
      </w:tabs>
      <w:snapToGrid w:val="0"/>
      <w:jc w:val="left"/>
    </w:pPr>
    <w:rPr>
      <w:sz w:val="18"/>
      <w:szCs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2131</Words>
  <Characters>2436</Characters>
  <Lines>19</Lines>
  <Paragraphs>5</Paragraphs>
  <TotalTime>6</TotalTime>
  <ScaleCrop>false</ScaleCrop>
  <LinksUpToDate>false</LinksUpToDate>
  <CharactersWithSpaces>2682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2024-06-05T04:58:00Z</dcterms:created>
  <dc:creator>Administrator</dc:creator>
  <cp:lastModifiedBy>王建清</cp:lastModifiedBy>
  <dcterms:modified xsi:type="dcterms:W3CDTF">2024-07-31T09:12:00Z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EF76175C2AC24F9D968E8CC4C9A94E35_13</vt:lpwstr>
  </property>
</Properties>
</file>